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F9" w:rsidRPr="00A104F9" w:rsidRDefault="00A104F9" w:rsidP="00A104F9">
      <w:pPr>
        <w:tabs>
          <w:tab w:val="left" w:pos="3495"/>
          <w:tab w:val="center" w:pos="48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ТОМСКАЯ ОБЛАСТЬ</w:t>
      </w:r>
    </w:p>
    <w:p w:rsidR="00A104F9" w:rsidRPr="00A104F9" w:rsidRDefault="00A104F9" w:rsidP="00A1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АЛЕКСАНДРОВСКИЙ РАЙОН</w:t>
      </w:r>
    </w:p>
    <w:p w:rsidR="00A104F9" w:rsidRPr="00A104F9" w:rsidRDefault="00A104F9" w:rsidP="00A1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СОВЕТ НАЗИНСКОГО СЕЛЬСКОГО ПОСЕЛЕНИЯ </w:t>
      </w:r>
    </w:p>
    <w:p w:rsidR="00A104F9" w:rsidRPr="00A104F9" w:rsidRDefault="00A104F9" w:rsidP="00A1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104F9" w:rsidRPr="00A104F9" w:rsidRDefault="00A104F9" w:rsidP="00A104F9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A104F9" w:rsidRPr="00A104F9" w:rsidRDefault="00A104F9" w:rsidP="00A10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  <w:r w:rsidRPr="00A104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29   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</w:t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152</w:t>
      </w: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 внесении   изменений   в   Правила   землепользования   </w:t>
      </w: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застройки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 образования  «Н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азинское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</w:t>
      </w:r>
      <w:proofErr w:type="gram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.11.2013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4F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</w:t>
      </w:r>
      <w:hyperlink r:id="rId6" w:history="1">
        <w:r w:rsidRPr="00A104F9">
          <w:rPr>
            <w:rFonts w:ascii="Times New Roman" w:eastAsia="Times New Roman" w:hAnsi="Times New Roman" w:cs="Times New Roman"/>
            <w:sz w:val="24"/>
            <w:szCs w:val="24"/>
          </w:rPr>
          <w:t>32</w:t>
        </w:r>
      </w:hyperlink>
      <w:r w:rsidRPr="00A104F9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>, на основании Устава муниципального образования «Н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азинское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поселение», статьей 35 «Правил землепользования и </w:t>
      </w:r>
      <w:r w:rsidRPr="00A104F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застройки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азинского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поселения», утвержденных   решением   Совета  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азинского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сельского   поселения    от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.11.2013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с учетом результатов публичных слушаний </w:t>
      </w:r>
    </w:p>
    <w:p w:rsidR="00A104F9" w:rsidRPr="00A104F9" w:rsidRDefault="00A104F9" w:rsidP="00A104F9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104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 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азинского</w:t>
      </w:r>
      <w:r w:rsidRPr="00A104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решил:</w:t>
      </w:r>
      <w:r w:rsidRPr="00A104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104F9" w:rsidRPr="00A104F9" w:rsidRDefault="00A104F9" w:rsidP="00A104F9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Правила землепользования и застройки муниципального образования «Н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азинское 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 изложив  статьи 30-40 главы 10 раздела 3 в новой редакции согласно приложению.</w:t>
      </w:r>
    </w:p>
    <w:p w:rsidR="00A104F9" w:rsidRPr="00A104F9" w:rsidRDefault="00A104F9" w:rsidP="00A104F9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изменения</w:t>
      </w:r>
      <w:proofErr w:type="gram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Правила землепользования и застройки муниципального образования «Н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азинское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в федеральной государственной информационной  системе территориального планирования в сети «Интернет» по адресу: </w:t>
      </w:r>
      <w:hyperlink r:id="rId7" w:history="1">
        <w:r w:rsidRPr="00A10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http://fgis.</w:t>
        </w:r>
        <w:r w:rsidRPr="00A10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economy</w:t>
        </w:r>
        <w:r w:rsidRPr="00A10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10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10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104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4F9" w:rsidRPr="00A104F9" w:rsidRDefault="00A104F9" w:rsidP="00A104F9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(обнародовать) настоящее решение в установленном Уставом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азинского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порядке и разместить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«Интернет».</w:t>
      </w:r>
    </w:p>
    <w:p w:rsidR="00A104F9" w:rsidRPr="00A104F9" w:rsidRDefault="00A104F9" w:rsidP="00A104F9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даты опубликования (обнародования).</w:t>
      </w:r>
    </w:p>
    <w:p w:rsidR="00A104F9" w:rsidRPr="00A104F9" w:rsidRDefault="00A104F9" w:rsidP="00A104F9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азинского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сельского поселения               ______________  </w:t>
      </w:r>
      <w:proofErr w:type="spell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А.Штатолкин</w:t>
      </w:r>
      <w:proofErr w:type="spellEnd"/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bookmarkStart w:id="0" w:name="_Toc360796663"/>
      <w:r w:rsidRPr="00A104F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lastRenderedPageBreak/>
        <w:t xml:space="preserve">Приложение </w:t>
      </w:r>
    </w:p>
    <w:p w:rsidR="00A104F9" w:rsidRDefault="00A104F9" w:rsidP="00A104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к решению Совета </w:t>
      </w:r>
    </w:p>
    <w:p w:rsidR="00A104F9" w:rsidRPr="00A104F9" w:rsidRDefault="00A104F9" w:rsidP="00A104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азинского</w:t>
      </w:r>
      <w:r w:rsidRPr="00A104F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сельского поселения</w:t>
      </w:r>
    </w:p>
    <w:p w:rsidR="00A104F9" w:rsidRPr="00A104F9" w:rsidRDefault="00A104F9" w:rsidP="00A104F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от 29.06.2017 года №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152</w:t>
      </w:r>
    </w:p>
    <w:p w:rsidR="00A104F9" w:rsidRPr="00A104F9" w:rsidRDefault="00A104F9" w:rsidP="00A104F9">
      <w:pPr>
        <w:keepNext/>
        <w:spacing w:before="240" w:after="60"/>
        <w:ind w:firstLine="708"/>
        <w:jc w:val="both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Глава 10.  Градостроительные регламенты</w:t>
      </w:r>
      <w:bookmarkEnd w:id="0"/>
    </w:p>
    <w:p w:rsidR="00A104F9" w:rsidRPr="00A104F9" w:rsidRDefault="00A104F9" w:rsidP="00A104F9">
      <w:pPr>
        <w:keepNext/>
        <w:spacing w:before="240" w:after="6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60796664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30. 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Зона застройки индивидуальными и многоквартирными жилыми домами малой этажности (Ж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End w:id="1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предназначена для застройки индивидуальными жилыми домами и предназначена для проживания в сочетании с ведением ограниченного личного подсобного хозяйства, отдыха или индивидуальной трудовой деятельности,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жилые дома на одну семью – до 3 этажей с придомовым участком от 0,03 га;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 блокированной застройки (до 3 этажей) с придомовым участком от 0,03 га;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маневренного фонда, дома и жилые помещения для временного поселения;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дома системы социального обслуживания населения.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павильоны розничной торговли и обслуживания населения;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продовольственные и промтоварные торговой площадью не более 50 кв. м*;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салоны сотовой связи, фотосалоны*;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не более 20 мест;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офисы, отделения банков;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общения и досуговых занятий, залы для встреч, собраний, занятий детей и молодежи, взрослых многоцелевого и специализированного назначения;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фельдшерско-акушерские пункты;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кабинеты частной практики*;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аптеки, аптечные пункты*;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без постоянного содержания животных;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спортплощадки, теннисные корты;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спортзалы, залы рекреации;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приемные пункты и мастерские по мелкому бытовому ремонту (ремонту обуви, одежды, зонтов, часов и т.п.), пошивочные ателье и мастерские до 60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парикмахерские, косметические салоны, салоны красоты*;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связи;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общественного питания не более чем 20 посадочных мест с режимом работы до 23 часов;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опорные пункты охраны правопорядка*.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площади до 15% территории планировочной единицы данной зоны в соответствии с утвержденной документацией по планировке территории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хозяйственные постройки;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гаражи не более чем на 2 машины, в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встроенные в 1 этажи жилых домов;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закрытые автостоянки для грузового транспорта и транспорта для перевозки людей, находящегося в личной собственности, грузоподъемностью менее 1,5 тонны;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места для стоянки автомобилей;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гаражи для хранения маломерных судов;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кухни;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стоящие беседки и навесы, в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предназначенные для осуществления хозяйственной деятельности;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 для домашних животных и птицы;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душевые, бани, сауны, бассейны, расположенные на приусадебных участках;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теплицы, оранжереи;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надворные туалеты (при условии устройства септика с фильтрующим колодцем);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резервуары для хранения воды, скважины для забора воды, индивидуальные колодцы;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сады, огороды, палисадники;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площадки для занятий спортом и физкультурой;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отдыха взрослого населения и площадки для детей;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сбора мусора;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и устройства сетей инженерно-технического обеспечения;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придомовые зеленые насаждения;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пожарной охраны (гидранты, резервуары и т.п.).</w:t>
            </w:r>
          </w:p>
        </w:tc>
      </w:tr>
    </w:tbl>
    <w:p w:rsidR="00A104F9" w:rsidRPr="00A104F9" w:rsidRDefault="00A104F9" w:rsidP="00A104F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kern w:val="1"/>
          <w:sz w:val="24"/>
          <w:szCs w:val="24"/>
          <w:lang w:eastAsia="ar-SA"/>
        </w:rPr>
      </w:pPr>
      <w:proofErr w:type="gramStart"/>
      <w:r w:rsidRPr="00A104F9">
        <w:rPr>
          <w:rFonts w:ascii="Times New Roman" w:eastAsia="Times New Roman" w:hAnsi="Times New Roman" w:cs="Calibri"/>
          <w:i/>
          <w:iCs/>
          <w:kern w:val="1"/>
          <w:sz w:val="24"/>
          <w:szCs w:val="24"/>
          <w:lang w:eastAsia="ar-SA"/>
        </w:rPr>
        <w:lastRenderedPageBreak/>
        <w:t xml:space="preserve">* Отмеченные звездочкой виды использования могут осуществляться в помещениях, встроенных и пристроенных к жилому дому, в </w:t>
      </w:r>
      <w:proofErr w:type="spellStart"/>
      <w:r w:rsidRPr="00A104F9">
        <w:rPr>
          <w:rFonts w:ascii="Times New Roman" w:eastAsia="Times New Roman" w:hAnsi="Times New Roman" w:cs="Calibri"/>
          <w:i/>
          <w:iCs/>
          <w:kern w:val="1"/>
          <w:sz w:val="24"/>
          <w:szCs w:val="24"/>
          <w:lang w:eastAsia="ar-SA"/>
        </w:rPr>
        <w:t>т.ч</w:t>
      </w:r>
      <w:proofErr w:type="spellEnd"/>
      <w:r w:rsidRPr="00A104F9">
        <w:rPr>
          <w:rFonts w:ascii="Times New Roman" w:eastAsia="Times New Roman" w:hAnsi="Times New Roman" w:cs="Calibri"/>
          <w:i/>
          <w:iCs/>
          <w:kern w:val="1"/>
          <w:sz w:val="24"/>
          <w:szCs w:val="24"/>
          <w:lang w:eastAsia="ar-SA"/>
        </w:rPr>
        <w:t>. при переводе помещений из жилых в нежилые, при условии проведения процедуры предоставления разрешения на условно-разрешенный вид использования.</w:t>
      </w:r>
      <w:proofErr w:type="gramEnd"/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606"/>
      </w:tblGrid>
      <w:tr w:rsidR="00A104F9" w:rsidRPr="00A104F9" w:rsidTr="009B54AB">
        <w:tc>
          <w:tcPr>
            <w:tcW w:w="42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widowControl w:val="0"/>
              <w:suppressAutoHyphens/>
              <w:jc w:val="both"/>
              <w:rPr>
                <w:rFonts w:ascii="Times New Roman" w:hAnsi="Times New Roman" w:cs="Calibri"/>
                <w:i/>
                <w:iCs/>
                <w:kern w:val="1"/>
                <w:sz w:val="24"/>
                <w:szCs w:val="24"/>
                <w:lang w:eastAsia="ar-SA"/>
              </w:rPr>
            </w:pPr>
            <w:r w:rsidRPr="00A104F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92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A104F9">
              <w:rPr>
                <w:rFonts w:ascii="Times New Roman" w:hAnsi="Times New Roman"/>
                <w:b/>
                <w:sz w:val="24"/>
                <w:szCs w:val="24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Ж-1:</w:t>
            </w:r>
          </w:p>
        </w:tc>
      </w:tr>
    </w:tbl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505"/>
        <w:gridCol w:w="1417"/>
      </w:tblGrid>
      <w:tr w:rsidR="00A104F9" w:rsidRPr="00A104F9" w:rsidTr="009B54AB">
        <w:tc>
          <w:tcPr>
            <w:tcW w:w="8931" w:type="dxa"/>
            <w:gridSpan w:val="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417" w:type="dxa"/>
            <w:tcBorders>
              <w:bottom w:val="nil"/>
            </w:tcBorders>
          </w:tcPr>
          <w:p w:rsidR="00A104F9" w:rsidRPr="00A104F9" w:rsidRDefault="00A104F9" w:rsidP="00A104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4F9" w:rsidRPr="00A104F9" w:rsidTr="009B54AB">
        <w:trPr>
          <w:trHeight w:val="60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1417" w:type="dxa"/>
            <w:tcBorders>
              <w:top w:val="nil"/>
            </w:tcBorders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 га</w:t>
            </w:r>
          </w:p>
        </w:tc>
      </w:tr>
      <w:tr w:rsidR="00A104F9" w:rsidRPr="00A104F9" w:rsidTr="009B54AB">
        <w:tc>
          <w:tcPr>
            <w:tcW w:w="8931" w:type="dxa"/>
            <w:gridSpan w:val="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0.25 </w:t>
            </w: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A104F9" w:rsidRPr="00A104F9" w:rsidTr="009B54AB">
        <w:trPr>
          <w:trHeight w:val="819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в том числе:</w:t>
            </w:r>
          </w:p>
        </w:tc>
        <w:tc>
          <w:tcPr>
            <w:tcW w:w="1417" w:type="dxa"/>
            <w:tcBorders>
              <w:bottom w:val="nil"/>
            </w:tcBorders>
          </w:tcPr>
          <w:p w:rsidR="00A104F9" w:rsidRPr="00A104F9" w:rsidRDefault="00A104F9" w:rsidP="00A104F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4F9" w:rsidRPr="00A104F9" w:rsidTr="009B54AB">
        <w:trPr>
          <w:trHeight w:val="171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красной линии до линии застройки  </w:t>
            </w:r>
          </w:p>
        </w:tc>
        <w:tc>
          <w:tcPr>
            <w:tcW w:w="1417" w:type="dxa"/>
            <w:tcBorders>
              <w:top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</w:t>
            </w:r>
          </w:p>
        </w:tc>
      </w:tr>
      <w:tr w:rsidR="00A104F9" w:rsidRPr="00A104F9" w:rsidTr="009B54AB">
        <w:trPr>
          <w:trHeight w:val="171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усадебного, 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одно-двухквартирного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блокированного дома  до границы соседнего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приквартирного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</w:tr>
      <w:tr w:rsidR="00A104F9" w:rsidRPr="00A104F9" w:rsidTr="009B54AB">
        <w:trPr>
          <w:trHeight w:val="288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постройки для содержания скота и птицы до границы соседнего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приквартирного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</w:t>
            </w:r>
          </w:p>
        </w:tc>
      </w:tr>
      <w:tr w:rsidR="00A104F9" w:rsidRPr="00A104F9" w:rsidTr="009B54AB">
        <w:trPr>
          <w:trHeight w:val="530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других построек (бани, гаражи и др.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границы соседнего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приквартирного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A104F9" w:rsidRPr="00A104F9" w:rsidTr="009B54AB">
        <w:trPr>
          <w:trHeight w:val="530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стволов высокорослых деревьев до границы соседнего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приквартирного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</w:t>
            </w:r>
          </w:p>
        </w:tc>
      </w:tr>
      <w:tr w:rsidR="00A104F9" w:rsidRPr="00A104F9" w:rsidTr="009B54AB">
        <w:trPr>
          <w:trHeight w:val="224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стволов среднерослых деревьев до границы соседнего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приквартирного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</w:t>
            </w:r>
          </w:p>
        </w:tc>
      </w:tr>
      <w:tr w:rsidR="00A104F9" w:rsidRPr="00A104F9" w:rsidTr="009B54AB">
        <w:trPr>
          <w:trHeight w:val="246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кустарников до границы соседнего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приквартирного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A104F9" w:rsidRPr="00A104F9" w:rsidTr="009B54AB">
        <w:tc>
          <w:tcPr>
            <w:tcW w:w="8931" w:type="dxa"/>
            <w:gridSpan w:val="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этажей</w:t>
            </w:r>
          </w:p>
        </w:tc>
      </w:tr>
      <w:tr w:rsidR="00A104F9" w:rsidRPr="00A104F9" w:rsidTr="009B54AB">
        <w:trPr>
          <w:trHeight w:val="812"/>
        </w:trPr>
        <w:tc>
          <w:tcPr>
            <w:tcW w:w="8931" w:type="dxa"/>
            <w:gridSpan w:val="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A104F9" w:rsidRPr="00A104F9" w:rsidRDefault="00A104F9" w:rsidP="00A10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A104F9" w:rsidRPr="00A104F9" w:rsidTr="009B54AB">
        <w:trPr>
          <w:trHeight w:val="354"/>
        </w:trPr>
        <w:tc>
          <w:tcPr>
            <w:tcW w:w="426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участков в зоне Ж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</w:tbl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размещать со стороны улицы вспомогательные строения, за исключением гаражей.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скота и птицы на приусадебном участке допускается лишь при размере земельного участка не менее 0,1 га.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несанкционированное строительство хозяйственных построек и гаражей боксового типа во дворах жилых домов.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Сооружение пристроек, балконов, мансардных этажей к многоквартирным домам только в соответствии с утвержденной проектной документацией.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жилых зданиях не допускается размещение объектов общественного назначения, оказывающих вредное воздействие на человека.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общественного назначения, встроенные в жилые здания, должны иметь входы, изолированные от жилой части здания.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в жилом здании помещений общественного назначения, инженерного оборудования и коммуникаций следует обеспечивать соблюдение гигиенических нормативов, в том числе по </w:t>
      </w:r>
      <w:proofErr w:type="spell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шумозащищенности</w:t>
      </w:r>
      <w:proofErr w:type="spell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помещений.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keepNext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Toc360796665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 Зона  многофункциональной общественно-деловой застройки (О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End w:id="2"/>
    </w:p>
    <w:p w:rsidR="00A104F9" w:rsidRPr="00A104F9" w:rsidRDefault="00A104F9" w:rsidP="00A104F9">
      <w:pPr>
        <w:widowControl w:val="0"/>
        <w:suppressAutoHyphens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104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Зона выделена для обеспечения условий использования и строительства недвижимости на территориях размещения центральных функций, где сочетаются административные, общественные и иные учреждения преимущественно регионального и </w:t>
      </w:r>
      <w:proofErr w:type="spellStart"/>
      <w:r w:rsidRPr="00A104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общепоселенческого</w:t>
      </w:r>
      <w:proofErr w:type="spellEnd"/>
      <w:r w:rsidRPr="00A104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значения, коммерческие учреждения, офисы, жилье, а также здания многофункционального назначения.</w:t>
      </w:r>
    </w:p>
    <w:p w:rsidR="00A104F9" w:rsidRPr="00A104F9" w:rsidRDefault="00A104F9" w:rsidP="00A104F9">
      <w:pPr>
        <w:widowControl w:val="0"/>
        <w:suppressAutoHyphens/>
        <w:spacing w:after="0" w:line="240" w:lineRule="auto"/>
        <w:ind w:right="30"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поселения;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офисы;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библиотеки, архивы, информационные центры;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музеи, выставочные залы, картинные галереи;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салоны, магазины по продаже сувениров, изделий народных промыслов;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клубы, залы для аттракционов и развлечений, танцевальные залы и дискотеки, развлекательные комплексы, помещения для игр в бильярд, активных детских игр;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общения и досуговых занятий, залы для встреч, собраний, занятий детей и молодежи, взрослых многоцелевого и специализированного назначения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учреждения;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общеобразовательные учреждения;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образовательные учреждения: ДШИ, ДСШ, музыкальные, художественные, хореографические, иные школы;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физкультурно-спортивные комплексы, включая открытые спортивные сооружения с трибунами для размещения зрителей, крытые теннисные корты, бассейны общего пользования, спортивно-оздоровительные центры;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бани, сауны общего пользования;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амбулаторно-поликлинические учреждения; стационары ЦРБ; станции скорой медицинской помощи;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кабинеты частной практики;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аптеки, аптечные пункты;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общественного питания;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магазины продовольственные и промтоварные;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салоны сотовой связи, фотосалоны;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по предоставлению полиграфических услуг, ксерокопированию и т.п.;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приемные пункты и мастерские по мелкому бытовому ремонту (ремонту обуви, одежды, зонтов, часов и т.п.); пошивочные ателье и мастерские;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парикмахерские, косметические салоны;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связи, почтовые отделения;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ветеринарные лечебницы для мелких домашних животных;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помещения для размещения подразделений органов охраны правопорядка;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здания комплексного обслуживания населения;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аварийно-диспетчерские службы организаций, осуществляющих эксплуатацию сетей инженерно-технического обеспечения;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части, здания и помещения для размещения подразделений пожарной охраны;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комплексы, монументы, памятники и памятные знаки.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многоквартирные блокированные жилые дома;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общежития; 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культовые здания и сооружения;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павильоны и киоски розничной торговли и обслуживания населения.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rPr>
          <w:trHeight w:val="3705"/>
        </w:trPr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и сооружения, технологически связанные с ведущим видом использования;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для размещения служб охраны и наблюдения;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гаражи служебного транспорта;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гостевые автостоянки, парковки;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площадки для сбора мусора (в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биологического для парикмахерских, учреждений медицинского назначения);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и устройства сетей инженерно-технического обеспечения;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территорий, элементы малых архитектурных форм;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игровые площадки;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зеленые насаждения (сквер, аллея, бульвар, сад);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гражданской обороны;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пожарной охраны (гидранты, резервуары и т.п.);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 и объекты оформления в специально отведенных местах.</w:t>
            </w:r>
          </w:p>
        </w:tc>
      </w:tr>
      <w:tr w:rsidR="00A104F9" w:rsidRPr="00A104F9" w:rsidTr="009B54AB">
        <w:trPr>
          <w:trHeight w:val="839"/>
        </w:trPr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О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</w:tbl>
    <w:p w:rsidR="00A104F9" w:rsidRPr="00A104F9" w:rsidRDefault="00A104F9" w:rsidP="00A104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bookmarkStart w:id="3" w:name="_Toc360796666"/>
    </w:p>
    <w:p w:rsidR="00A104F9" w:rsidRPr="00A104F9" w:rsidRDefault="00A104F9" w:rsidP="00A104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32. Зона размещения объектов образования (О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A104F9" w:rsidRPr="00A104F9" w:rsidRDefault="00A104F9" w:rsidP="00A104F9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04F9">
        <w:rPr>
          <w:rFonts w:ascii="Times New Roman" w:eastAsia="Times New Roman" w:hAnsi="Times New Roman" w:cs="Times New Roman"/>
          <w:bCs/>
          <w:sz w:val="24"/>
          <w:szCs w:val="24"/>
        </w:rPr>
        <w:t xml:space="preserve">Зона выделена для размещения объектов образования, где сочетаются учреждения преимущественно регионального и </w:t>
      </w:r>
      <w:proofErr w:type="spellStart"/>
      <w:r w:rsidRPr="00A104F9">
        <w:rPr>
          <w:rFonts w:ascii="Times New Roman" w:eastAsia="Times New Roman" w:hAnsi="Times New Roman" w:cs="Times New Roman"/>
          <w:bCs/>
          <w:sz w:val="24"/>
          <w:szCs w:val="24"/>
        </w:rPr>
        <w:t>общепоселенческого</w:t>
      </w:r>
      <w:proofErr w:type="spellEnd"/>
      <w:r w:rsidRPr="00A104F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значения, допускается размещение иных объектов социального и культурно </w:t>
      </w:r>
      <w:proofErr w:type="gramStart"/>
      <w:r w:rsidRPr="00A104F9">
        <w:rPr>
          <w:rFonts w:ascii="Times New Roman" w:eastAsia="Times New Roman" w:hAnsi="Times New Roman" w:cs="Times New Roman"/>
          <w:bCs/>
          <w:sz w:val="24"/>
          <w:szCs w:val="24"/>
        </w:rPr>
        <w:t>-б</w:t>
      </w:r>
      <w:proofErr w:type="gramEnd"/>
      <w:r w:rsidRPr="00A104F9">
        <w:rPr>
          <w:rFonts w:ascii="Times New Roman" w:eastAsia="Times New Roman" w:hAnsi="Times New Roman" w:cs="Times New Roman"/>
          <w:bCs/>
          <w:sz w:val="24"/>
          <w:szCs w:val="24"/>
        </w:rPr>
        <w:t>ытового обслуживания населения, согласно градостроительным регламентам.</w:t>
      </w: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9922"/>
      </w:tblGrid>
      <w:tr w:rsidR="00A104F9" w:rsidRPr="00A104F9" w:rsidTr="009B54AB">
        <w:trPr>
          <w:trHeight w:val="107"/>
        </w:trPr>
        <w:tc>
          <w:tcPr>
            <w:tcW w:w="42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992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разрешенного использования </w:t>
            </w:r>
          </w:p>
        </w:tc>
      </w:tr>
      <w:tr w:rsidR="00A104F9" w:rsidRPr="00A104F9" w:rsidTr="009B54AB">
        <w:trPr>
          <w:trHeight w:val="580"/>
        </w:trPr>
        <w:tc>
          <w:tcPr>
            <w:tcW w:w="426" w:type="dxa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</w:p>
        </w:tc>
        <w:tc>
          <w:tcPr>
            <w:tcW w:w="9922" w:type="dxa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дошкольные образовательные учреждения;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 общеобразовательные учреждения;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специализированные образовательные учреждения: ДШИ, ДСШ, музыкальные, художественные, хореографические, иные школы;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школы-интернаты;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информационные, компьютерные центры;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столовые;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спортивные площадки, стадионы, теннисные корты; </w:t>
            </w:r>
          </w:p>
        </w:tc>
      </w:tr>
      <w:tr w:rsidR="00A104F9" w:rsidRPr="00A104F9" w:rsidTr="009B54AB">
        <w:trPr>
          <w:trHeight w:val="567"/>
        </w:trPr>
        <w:tc>
          <w:tcPr>
            <w:tcW w:w="426" w:type="dxa"/>
            <w:tcBorders>
              <w:left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2" w:type="dxa"/>
            <w:tcBorders>
              <w:right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учебно-лабораторные и учебно-производственные корпуса и мастерские;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полигоны, хозяйственные участки, производственные базы учебных заведений. </w:t>
            </w:r>
          </w:p>
        </w:tc>
      </w:tr>
      <w:tr w:rsidR="00A104F9" w:rsidRPr="00A104F9" w:rsidTr="009B54AB">
        <w:trPr>
          <w:trHeight w:val="214"/>
        </w:trPr>
        <w:tc>
          <w:tcPr>
            <w:tcW w:w="426" w:type="dxa"/>
            <w:tcBorders>
              <w:lef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922" w:type="dxa"/>
            <w:tcBorders>
              <w:righ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Условно разрешенные виды использования </w:t>
            </w:r>
          </w:p>
        </w:tc>
      </w:tr>
      <w:tr w:rsidR="00A104F9" w:rsidRPr="00A104F9" w:rsidTr="009B54AB">
        <w:trPr>
          <w:trHeight w:val="1213"/>
        </w:trPr>
        <w:tc>
          <w:tcPr>
            <w:tcW w:w="426" w:type="dxa"/>
            <w:tcBorders>
              <w:left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2" w:type="dxa"/>
            <w:tcBorders>
              <w:right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временные павильоны и киоски розничной торговли и обслуживания населения;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специализированные клубы, залы для аттракционов и развлечений, танцевальные залы и дискотеки, развлекательные комплексы, помещения для активных детских игр;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центры общения и досуговых занятий, залы для встреч, собраний, занятий детей и молодежи многоцелевого и специализированного назначения </w:t>
            </w:r>
          </w:p>
        </w:tc>
      </w:tr>
      <w:tr w:rsidR="00A104F9" w:rsidRPr="00A104F9" w:rsidTr="009B54AB">
        <w:trPr>
          <w:trHeight w:val="327"/>
        </w:trPr>
        <w:tc>
          <w:tcPr>
            <w:tcW w:w="426" w:type="dxa"/>
            <w:tcBorders>
              <w:lef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9922" w:type="dxa"/>
            <w:tcBorders>
              <w:righ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rPr>
          <w:trHeight w:val="1213"/>
        </w:trPr>
        <w:tc>
          <w:tcPr>
            <w:tcW w:w="426" w:type="dxa"/>
            <w:tcBorders>
              <w:left w:val="nil"/>
              <w:bottom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2" w:type="dxa"/>
            <w:tcBorders>
              <w:bottom w:val="nil"/>
              <w:right w:val="nil"/>
            </w:tcBorders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здания и сооружения, технологически связанные с ведущим видом использования;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здания и сооружения для размещения служб охраны и наблюдения;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гаражи служебного транспорта;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гостевые автостоянки, парковки;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площадки для сбора мусора (в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биологического для парикмахерских, учреждений медицинского назначения);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сооружения и устройства сетей инженерно-технического обеспечения;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территорий, элементы малых архитектурных форм;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игровые площадки;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общественные зеленые насаждения (сквер, аллея, бульвар, сад);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гражданской обороны;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пожарной охраны (гидранты, резервуары и т.п.); </w:t>
            </w:r>
          </w:p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реклама и объекты оформления в специально отведенных местах. </w:t>
            </w:r>
          </w:p>
        </w:tc>
      </w:tr>
      <w:tr w:rsidR="00A104F9" w:rsidRPr="00A104F9" w:rsidTr="009B54AB">
        <w:trPr>
          <w:trHeight w:val="813"/>
        </w:trPr>
        <w:tc>
          <w:tcPr>
            <w:tcW w:w="42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2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О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</w:tbl>
    <w:p w:rsidR="00A104F9" w:rsidRPr="00A104F9" w:rsidRDefault="00A104F9" w:rsidP="00A104F9">
      <w:pPr>
        <w:keepNext/>
        <w:spacing w:before="240" w:after="6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33.  Зона размещения промышленных, сельскохозяйственных предприятий  и производственных объектов  I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 санитарной опасности (П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End w:id="3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2E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выделяются зоны планируемого размещения предприятий  и производственных объектов  IV-V классов санитарной опасности.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rPr>
          <w:trHeight w:val="839"/>
        </w:trPr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60796667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</w:t>
            </w:r>
            <w:bookmarkStart w:id="5" w:name="_GoBack"/>
            <w:bookmarkEnd w:id="5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расположенных в зоне П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</w:tbl>
    <w:p w:rsidR="00A104F9" w:rsidRPr="00A104F9" w:rsidRDefault="00A104F9" w:rsidP="00A104F9">
      <w:pPr>
        <w:keepNext/>
        <w:spacing w:before="240" w:after="6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Toc360796668"/>
      <w:bookmarkEnd w:id="4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34.  Зона коммунально-складских предприятий и объектов  (П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2E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выделяются зоны земельных участков, предоставленных под размещение гаражей, материальных складов.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rPr>
          <w:trHeight w:val="839"/>
        </w:trPr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П2не подлежат установлению.</w:t>
            </w:r>
          </w:p>
        </w:tc>
      </w:tr>
    </w:tbl>
    <w:p w:rsidR="00A104F9" w:rsidRPr="00A104F9" w:rsidRDefault="00A104F9" w:rsidP="00A104F9">
      <w:pPr>
        <w:keepNext/>
        <w:spacing w:before="240" w:after="6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35.  Зона</w:t>
      </w:r>
      <w:r w:rsidRPr="00A104F9">
        <w:rPr>
          <w:rFonts w:ascii="Cambria" w:eastAsia="Times New Roman" w:hAnsi="Cambria" w:cs="Times New Roman"/>
          <w:b/>
          <w:bCs/>
          <w:sz w:val="26"/>
          <w:szCs w:val="26"/>
        </w:rPr>
        <w:t xml:space="preserve"> 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транспортной инфраструктуры  (ИТ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End w:id="6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Регламенты носят рекомендательный характер. </w:t>
      </w: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градостроительных регламентов не распространяется на земельные участки: в границах территории общего пользования, занятые линейными объектами (ст. 36 Градостроительного кодекса РФ). </w:t>
      </w:r>
    </w:p>
    <w:p w:rsidR="00A104F9" w:rsidRPr="00A104F9" w:rsidRDefault="00A104F9" w:rsidP="00A10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дорожно-транспортных сооружений.</w:t>
      </w:r>
    </w:p>
    <w:p w:rsidR="00A104F9" w:rsidRPr="00A104F9" w:rsidRDefault="00A104F9" w:rsidP="00A10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транспортной инфраструктуры (площадки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нестационарных объектов автосервиса для попутного обслуживания.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 различных категорий, развязки, мосты, иные транспортные инженерные сооружения;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улично-дорожная сеть с инженерными коммуникациями;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вертолетная площадка;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диспетчерские пункты и прочие сооружения по организации воздушного движения;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магистральные трубопроводы;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отстойно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-разворотные площадки;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остановочные павильоны;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технического обслуживания автомобилей;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коммуникации (линейные объекты).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офисы и представительства;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оказания первой медицинской помощи;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связи;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складские объекты;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части;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специализированные;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торговые павильоны;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 объекты общественного питания;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торговые объекты.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и сооружения, технологически связанные с ведущим видом использования;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для размещения служб охраны и наблюдения;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сбора мусора;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помещения, туалеты;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и устройства сетей инженерно-технического обеспечения;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территорий, элементы малых архитектурных форм;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зеленые насаждения;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гражданской обороны;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пожарной охраны (гидранты, резервуары и т.п.).</w:t>
            </w:r>
          </w:p>
        </w:tc>
      </w:tr>
      <w:tr w:rsidR="00A104F9" w:rsidRPr="00A104F9" w:rsidTr="009B54AB">
        <w:trPr>
          <w:trHeight w:val="853"/>
        </w:trPr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ИТ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</w:tbl>
    <w:p w:rsidR="00A104F9" w:rsidRPr="00A104F9" w:rsidRDefault="00A104F9" w:rsidP="00A104F9">
      <w:pPr>
        <w:keepNext/>
        <w:spacing w:before="240" w:after="6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Toc360796669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36.  Зона</w:t>
      </w:r>
      <w:r w:rsidRPr="00A104F9">
        <w:rPr>
          <w:rFonts w:ascii="Cambria" w:eastAsia="Times New Roman" w:hAnsi="Cambria" w:cs="Times New Roman"/>
          <w:b/>
          <w:bCs/>
          <w:sz w:val="26"/>
          <w:szCs w:val="26"/>
        </w:rPr>
        <w:t xml:space="preserve"> 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 объектов</w:t>
      </w:r>
      <w:r w:rsidRPr="00A104F9">
        <w:rPr>
          <w:rFonts w:ascii="Cambria" w:eastAsia="Times New Roman" w:hAnsi="Cambria" w:cs="Times New Roman"/>
          <w:b/>
          <w:bCs/>
          <w:sz w:val="26"/>
          <w:szCs w:val="26"/>
        </w:rPr>
        <w:t xml:space="preserve"> </w:t>
      </w: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инженерной инфраструктуры (ИТ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End w:id="7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выделена для обеспечения правовых условий использования участков инженерно-технических сооружений, разрешается размещение зданий, сооружений и коммуникаций, связанных с их эксплуатацией.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энергообеспечения;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теплоснабжения;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водозаборные сооружения;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водоподготовки;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насосные станции;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аэрации;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 очистные сооружения, КНС;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отстойники;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вышки сотовой связи;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АТС;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системы газоснабжения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 п.;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 коммуникации (линейные объекты).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офисы и представительства;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оказания первой медицинской помощи;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складские объекты;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посты.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и сооружения, технологически связанные с ведущим видом использования;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для размещения служб охраны и наблюдения;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сбора мусора;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зеленые насаждения;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гражданской обороны;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пожарной охраны (гидранты, резервуары и т.п.).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8" w:name="_Toc360788371"/>
            <w:bookmarkStart w:id="9" w:name="_Toc360796670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ИТ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</w:tbl>
    <w:p w:rsidR="00A104F9" w:rsidRPr="00A104F9" w:rsidRDefault="00A104F9" w:rsidP="00A104F9">
      <w:pPr>
        <w:keepNext/>
        <w:spacing w:before="240" w:after="60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37.  Зона общественных рекреационных территорий, парков и скверов (Р</w:t>
      </w:r>
      <w:proofErr w:type="gramStart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End w:id="8"/>
      <w:bookmarkEnd w:id="9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зона выделена для обеспечения правовых условий сохранения и использования земельных участков озеленения в целях проведения досуга населения.</w:t>
      </w: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Парки, сады, скверы относятся к территориям общего пользования. Согласно части 4 ст.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общего пользования. Использование земельных участков, на которые действие градостроительных регламентов не распространяется, определяется уполномоченными органами. До утверждения в установленном порядке </w:t>
      </w:r>
      <w:proofErr w:type="gram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использования зоны общественных рекреационных территорий Новоникольского сельского поселения</w:t>
      </w:r>
      <w:proofErr w:type="gram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нормы и правила СП 42.13330.2011 «СНиП 2.07.01-89 Градостроительство. Планировка и застройка городских  и сельских поселений».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31"/>
      </w:tblGrid>
      <w:tr w:rsidR="00A104F9" w:rsidRPr="00A104F9" w:rsidTr="009B54AB">
        <w:tc>
          <w:tcPr>
            <w:tcW w:w="10348" w:type="dxa"/>
          </w:tcPr>
          <w:p w:rsidR="00A104F9" w:rsidRPr="00A104F9" w:rsidRDefault="00A104F9" w:rsidP="00A104F9">
            <w:p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0" w:name="_Toc360796671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Р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</w:tbl>
    <w:p w:rsidR="00A104F9" w:rsidRPr="00A104F9" w:rsidRDefault="00A104F9" w:rsidP="00A104F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360796672"/>
      <w:bookmarkEnd w:id="10"/>
    </w:p>
    <w:p w:rsidR="00A104F9" w:rsidRPr="00A104F9" w:rsidRDefault="00A104F9" w:rsidP="00A104F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38.  Зона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кладбища (Сп</w:t>
      </w:r>
      <w:proofErr w:type="gramStart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11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захоронения (для действующих кладбищ);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мемориальные комплексы;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по изготовлению ритуальных принадлежностей;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траурных обрядов;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корпуса.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культовые здания и сооружения;</w:t>
            </w:r>
          </w:p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похоронного обслуживания</w:t>
            </w:r>
          </w:p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киоски, временные павильоны розничной торговли;</w:t>
            </w:r>
          </w:p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оранжереи.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и сооружения, технологически связанные с ведущим видом использования;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для размещения служб охраны и наблюдения;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автостоянки, парковки;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сбора мусора;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и устройства сетей инженерно-технического обеспечения;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территорий, элементы малых архитектурных форм;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зеленые насаждения;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 для хранения воды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пожарной охраны.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Сп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  <w:tr w:rsidR="00A104F9" w:rsidRPr="00A104F9" w:rsidTr="009B54AB">
        <w:trPr>
          <w:trHeight w:val="204"/>
        </w:trPr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требования к размещению кладбищ:</w:t>
            </w:r>
          </w:p>
        </w:tc>
      </w:tr>
    </w:tbl>
    <w:p w:rsidR="00A104F9" w:rsidRPr="00A104F9" w:rsidRDefault="00A104F9" w:rsidP="00A104F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Участок, отводимый под кладбище, должен удовлетворять следующим требованиям: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населенному пункту, открытым водоемам и водозаборным сооружениям для питьевых и хозяйственных нужд населения;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затопляться при паводках;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 не менее 2,5 м от поверхности земли при максимальном стоянии грунтовых вод. При уровне выше 2,5 м от поверхности земли участок может быть использован лишь для размещения кладбища для погребения после кремации;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 1,5 м и ниже с влажностью почвы в пределах 6 - 18%;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с подветренной стороны по отношению к жилой территории.</w:t>
      </w:r>
    </w:p>
    <w:tbl>
      <w:tblPr>
        <w:tblStyle w:val="a9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922"/>
      </w:tblGrid>
      <w:tr w:rsidR="00A104F9" w:rsidRPr="00A104F9" w:rsidTr="009B54AB">
        <w:tc>
          <w:tcPr>
            <w:tcW w:w="42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04F9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  <w:p w:rsidR="00A104F9" w:rsidRPr="00A104F9" w:rsidRDefault="00A104F9" w:rsidP="00A10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4F9">
              <w:rPr>
                <w:rFonts w:ascii="Times New Roman" w:hAnsi="Times New Roman"/>
                <w:b/>
                <w:sz w:val="24"/>
                <w:szCs w:val="24"/>
              </w:rPr>
              <w:t>Ограничения использования земельных участков и объектов капитального строительства в зоне Сп</w:t>
            </w:r>
            <w:proofErr w:type="gramStart"/>
            <w:r w:rsidRPr="00A104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A104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:rsidR="00A104F9" w:rsidRPr="00A104F9" w:rsidRDefault="00A104F9" w:rsidP="00A104F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разрешается размещать кладбища на территориях: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и второго поясов зон санитарной охраны источников централизованного водоснабжения и минеральных источников;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зоны санитарной охраны курортов;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выходом на поверхность </w:t>
      </w:r>
      <w:proofErr w:type="spell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закарстованных</w:t>
      </w:r>
      <w:proofErr w:type="spell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сильнотрещиноватых пород и в местах выклинивания водоносных горизонтов;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стоянием грунтовых вод менее двух метров от поверхности земли при наиболее высоком их стоянии, а также на затапливаемых, подверженных оползням и обвалам, заболоченных территориях;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берегах озер, рек и других открытых водоемов, используемых населением для хозяйственно-бытовых нужд, купания и культурно-оздоровительных целей.</w:t>
      </w: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360796673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39. Зона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размещения отходов производства и потребления (свалок, полигонов ТБО, скотомогильников) (Сп</w:t>
      </w:r>
      <w:proofErr w:type="gramStart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12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42" w:type="dxa"/>
        <w:tblInd w:w="108" w:type="dxa"/>
        <w:tblLook w:val="04A0" w:firstRow="1" w:lastRow="0" w:firstColumn="1" w:lastColumn="0" w:noHBand="0" w:noVBand="1"/>
      </w:tblPr>
      <w:tblGrid>
        <w:gridCol w:w="490"/>
        <w:gridCol w:w="9952"/>
      </w:tblGrid>
      <w:tr w:rsidR="00A104F9" w:rsidRPr="00A104F9" w:rsidTr="009B54AB">
        <w:tc>
          <w:tcPr>
            <w:tcW w:w="490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490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сооружения, предназначенные для изоляции и обезвреживания ТБО, размещения отходов производства и потребления; 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производственно-бытовые здания для персонала, гаражи, навесы для размещения машин и механизмов, контрольно-дезинфицирующие установки;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автономные котельные, специальные установки для сжигания отходов, сооружения мойки, пропарки и обеззараживания машинных механизмов;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скотомогильники (биотермические ямы);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вскрытия трупов животных, хранения дезинфицирующих средств, инвентаря, спецодежды и инструментов;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капитального строительства, разрешенные к размещению в части территорий санитарно-защитных зон в соответствии с действующими нормативами.</w:t>
            </w:r>
          </w:p>
        </w:tc>
      </w:tr>
      <w:tr w:rsidR="00A104F9" w:rsidRPr="00A104F9" w:rsidTr="009B54AB">
        <w:tc>
          <w:tcPr>
            <w:tcW w:w="490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490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устанавливаются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A104F9" w:rsidRPr="00A104F9" w:rsidTr="009B54AB">
        <w:tc>
          <w:tcPr>
            <w:tcW w:w="490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c>
          <w:tcPr>
            <w:tcW w:w="490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подъездные пути;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ограждения, осушительные траншеи, валы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сооружения и устройства сетей инженерно-технического обеспечения, в </w:t>
            </w:r>
            <w:proofErr w:type="spellStart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сети водоснабжения, канализации, очистные сооружения (локальные).</w:t>
            </w:r>
          </w:p>
        </w:tc>
      </w:tr>
      <w:tr w:rsidR="00A104F9" w:rsidRPr="00A104F9" w:rsidTr="009B54AB">
        <w:tc>
          <w:tcPr>
            <w:tcW w:w="490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Сп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  <w:tr w:rsidR="00A104F9" w:rsidRPr="00A104F9" w:rsidTr="009B54AB">
        <w:tc>
          <w:tcPr>
            <w:tcW w:w="490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требования к размещению объектов зоны:</w:t>
            </w:r>
          </w:p>
        </w:tc>
      </w:tr>
    </w:tbl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Полигоны ТБО размещаются на участках, где выявлены глины или тяжелые суглинки, а грунтовые воды находятся на глубине не менее 2 м.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используются под полигоны болота глубиной более 1 м и участки с выходами грунтовых вод в виде ключей.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Полигон для ТБО размещается на ровной территории, исключающей возможность смыва атмосферными осадками части отходов и загрязнения ими прилегающих земельных площадей и открытых водоемов, вблизи населенных пунктов.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отвод земельного участка под полигоны ТБО на территории оврагов, начиная с его верховьев,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водоемы.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Скотомогильники (биотермические ямы) размещают на сухом возвышенном участке земли площадью не менее 600 кв. м. Уровень стояния грунтовых вод должен быть не менее 2 м от поверхности земли.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9607"/>
      </w:tblGrid>
      <w:tr w:rsidR="00A104F9" w:rsidRPr="00A104F9" w:rsidTr="009B54AB">
        <w:tc>
          <w:tcPr>
            <w:tcW w:w="42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uppressAutoHyphens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104F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0029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A104F9">
              <w:rPr>
                <w:rFonts w:ascii="Times New Roman" w:hAnsi="Times New Roman" w:cs="Arial"/>
                <w:b/>
                <w:sz w:val="24"/>
                <w:szCs w:val="24"/>
                <w:lang w:eastAsia="ar-SA"/>
              </w:rPr>
              <w:t>Ограничения использования земельных участков и объектов капитального строительства в зоне Сп</w:t>
            </w:r>
            <w:proofErr w:type="gramStart"/>
            <w:r w:rsidRPr="00A104F9">
              <w:rPr>
                <w:rFonts w:ascii="Times New Roman" w:hAnsi="Times New Roman" w:cs="Arial"/>
                <w:b/>
                <w:sz w:val="24"/>
                <w:szCs w:val="24"/>
                <w:lang w:eastAsia="ar-SA"/>
              </w:rPr>
              <w:t>2</w:t>
            </w:r>
            <w:proofErr w:type="gramEnd"/>
            <w:r w:rsidRPr="00A104F9">
              <w:rPr>
                <w:rFonts w:ascii="Times New Roman" w:hAnsi="Times New Roman" w:cs="Arial"/>
                <w:b/>
                <w:sz w:val="24"/>
                <w:szCs w:val="24"/>
                <w:lang w:eastAsia="ar-SA"/>
              </w:rPr>
              <w:t>:</w:t>
            </w:r>
          </w:p>
        </w:tc>
      </w:tr>
    </w:tbl>
    <w:p w:rsidR="00A104F9" w:rsidRPr="00A104F9" w:rsidRDefault="00A104F9" w:rsidP="00A104F9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полигонов ТБО: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зон санитарной охраны </w:t>
      </w:r>
      <w:proofErr w:type="spell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минеральных источников;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поясах зон санитарной охраны курортов;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районах геологических разломов, местах выхода на поверхность трещиноватых пород;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выклинивания водоносных горизонтов;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участках, затопляемых паводковыми водами;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рекреационных зонах;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массового отдыха населения и на территории лечебно-оздоровительных учреждений;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размещение скотомогильников (биотермических ям) в </w:t>
      </w:r>
      <w:proofErr w:type="spellStart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водоохранной</w:t>
      </w:r>
      <w:proofErr w:type="spellEnd"/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лесопарковой и заповедной зонах.</w:t>
      </w:r>
    </w:p>
    <w:p w:rsidR="00A104F9" w:rsidRPr="00A104F9" w:rsidRDefault="00A104F9" w:rsidP="00A10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Toc360796674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Статья 40.  Зона</w:t>
      </w: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сельскохозяйственного использования  (Сх</w:t>
      </w:r>
      <w:proofErr w:type="gramStart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A10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bookmarkEnd w:id="13"/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Зоны сельскохозяйственного использования – сенокосы, пастбища, луга и огороды, а также участки, занятые объектами, предназначенные для ведения сельского хозяйства, личного подсобного хозяйства, в границах  населённого  пункта с. Новоникольское. </w:t>
      </w:r>
    </w:p>
    <w:p w:rsidR="00A104F9" w:rsidRPr="00A104F9" w:rsidRDefault="00A104F9" w:rsidP="00A10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9635"/>
      </w:tblGrid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для выращивания сельхозпродукции;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луга, пастбища;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мелких животных и птицы;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огороды;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подсобные хозяйства.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пасеки;</w:t>
            </w:r>
          </w:p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теплицы и парники;</w:t>
            </w:r>
          </w:p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овощехранилища;</w:t>
            </w:r>
          </w:p>
          <w:p w:rsidR="00A104F9" w:rsidRPr="00A104F9" w:rsidRDefault="00A104F9" w:rsidP="00A1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склады.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52" w:type="dxa"/>
            <w:shd w:val="clear" w:color="auto" w:fill="F2F2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</w:p>
        </w:tc>
      </w:tr>
      <w:tr w:rsidR="00A104F9" w:rsidRPr="00A104F9" w:rsidTr="009B54AB">
        <w:tc>
          <w:tcPr>
            <w:tcW w:w="396" w:type="dxa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2" w:type="dxa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здания и сооружения, технологически связанные с ведущим видом использования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подъездные пути;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постройки;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туалеты;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сбора мусора;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и устройства сетей инженерно-технического обеспечения;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 для хранения воды;</w:t>
            </w:r>
          </w:p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зеленые насаждения.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строительства, расположенных в зоне Сх</w:t>
            </w:r>
            <w:proofErr w:type="gramStart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 подлежат установлению.</w:t>
            </w:r>
          </w:p>
        </w:tc>
      </w:tr>
      <w:tr w:rsidR="00A104F9" w:rsidRPr="00A104F9" w:rsidTr="009B54AB">
        <w:tc>
          <w:tcPr>
            <w:tcW w:w="396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52" w:type="dxa"/>
            <w:shd w:val="clear" w:color="auto" w:fill="F2F2F2" w:themeFill="background1" w:themeFillShade="F2"/>
          </w:tcPr>
          <w:p w:rsidR="00A104F9" w:rsidRPr="00A104F9" w:rsidRDefault="00A104F9" w:rsidP="00A104F9">
            <w:pPr>
              <w:tabs>
                <w:tab w:val="num" w:pos="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Ограничения в сельскохозяйственной деятельности:</w:t>
            </w:r>
          </w:p>
        </w:tc>
      </w:tr>
    </w:tbl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экологически безопасной традиционной сельскохозяйственной деятельности;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порядка хранения и использования пестицидов и удобрений;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регламентация выпаса скота (только в пределах территорий пастбищ с обустройством на них поилок);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выжигание растительности; </w:t>
      </w:r>
    </w:p>
    <w:p w:rsidR="00A104F9" w:rsidRPr="00A104F9" w:rsidRDefault="00A104F9" w:rsidP="00A104F9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распыление ядохимикатов и других химических средств с воздуха. </w:t>
      </w:r>
    </w:p>
    <w:p w:rsidR="00A104F9" w:rsidRPr="00A104F9" w:rsidRDefault="00A104F9" w:rsidP="00A104F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4F9" w:rsidRPr="00A104F9" w:rsidRDefault="00A104F9" w:rsidP="00A104F9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4F9" w:rsidRPr="00A104F9" w:rsidRDefault="00A104F9" w:rsidP="00A10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45" w:rsidRDefault="00C37E45"/>
    <w:sectPr w:rsidR="00C37E45" w:rsidSect="008164C7">
      <w:pgSz w:w="11906" w:h="16838"/>
      <w:pgMar w:top="1134" w:right="707" w:bottom="1134" w:left="1276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0317109"/>
    <w:multiLevelType w:val="hybridMultilevel"/>
    <w:tmpl w:val="5D7E0B52"/>
    <w:lvl w:ilvl="0" w:tplc="92D226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12"/>
    <w:rsid w:val="002E1E07"/>
    <w:rsid w:val="008D1912"/>
    <w:rsid w:val="00A104F9"/>
    <w:rsid w:val="00C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4F9"/>
    <w:pPr>
      <w:keepNext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A104F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04F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4F9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A104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104F9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104F9"/>
  </w:style>
  <w:style w:type="paragraph" w:customStyle="1" w:styleId="xl33">
    <w:name w:val="xl33"/>
    <w:basedOn w:val="a"/>
    <w:rsid w:val="00A104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04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104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A104F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2">
    <w:name w:val="Гиперссылка1"/>
    <w:basedOn w:val="a0"/>
    <w:uiPriority w:val="99"/>
    <w:unhideWhenUsed/>
    <w:rsid w:val="00A104F9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A10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104F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104F9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A104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10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104F9"/>
    <w:rPr>
      <w:rFonts w:cs="Times New Roman"/>
      <w:b/>
      <w:bCs/>
    </w:rPr>
  </w:style>
  <w:style w:type="table" w:styleId="a9">
    <w:name w:val="Table Grid"/>
    <w:basedOn w:val="a1"/>
    <w:uiPriority w:val="59"/>
    <w:rsid w:val="00A104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04F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104F9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A104F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A104F9"/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uiPriority w:val="39"/>
    <w:unhideWhenUsed/>
    <w:rsid w:val="00A104F9"/>
    <w:pPr>
      <w:tabs>
        <w:tab w:val="right" w:leader="dot" w:pos="9345"/>
      </w:tabs>
      <w:spacing w:after="0"/>
    </w:pPr>
    <w:rPr>
      <w:rFonts w:ascii="Calibri" w:eastAsia="Times New Roman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A104F9"/>
    <w:pPr>
      <w:tabs>
        <w:tab w:val="right" w:leader="dot" w:pos="9345"/>
      </w:tabs>
      <w:spacing w:after="0"/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A104F9"/>
    <w:pPr>
      <w:tabs>
        <w:tab w:val="left" w:pos="426"/>
        <w:tab w:val="right" w:leader="dot" w:pos="9345"/>
      </w:tabs>
      <w:spacing w:after="0"/>
      <w:ind w:left="426"/>
    </w:pPr>
    <w:rPr>
      <w:rFonts w:ascii="Calibri" w:eastAsia="Times New Roman" w:hAnsi="Calibri" w:cs="Times New Roman"/>
    </w:rPr>
  </w:style>
  <w:style w:type="paragraph" w:styleId="ae">
    <w:name w:val="endnote text"/>
    <w:basedOn w:val="a"/>
    <w:link w:val="af"/>
    <w:uiPriority w:val="99"/>
    <w:unhideWhenUsed/>
    <w:rsid w:val="00A104F9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A104F9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basedOn w:val="a0"/>
    <w:uiPriority w:val="99"/>
    <w:unhideWhenUsed/>
    <w:rsid w:val="00A104F9"/>
    <w:rPr>
      <w:vertAlign w:val="superscript"/>
    </w:rPr>
  </w:style>
  <w:style w:type="paragraph" w:customStyle="1" w:styleId="100">
    <w:name w:val="1 Основной текст 0"/>
    <w:aliases w:val="95 ПК,А. Основной текст 0 Знак Знак Знак Знак Знак Знак,Основной текст 0,А. Основной текст 0,1. Основной текст 0,А. Основной текст 0 Знак Знак Знак Знак,А. Основной текст 0 Знак Знак"/>
    <w:basedOn w:val="a"/>
    <w:link w:val="101"/>
    <w:rsid w:val="00A104F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4"/>
    </w:rPr>
  </w:style>
  <w:style w:type="character" w:customStyle="1" w:styleId="101">
    <w:name w:val="1 Основной текст 01"/>
    <w:link w:val="100"/>
    <w:locked/>
    <w:rsid w:val="00A104F9"/>
    <w:rPr>
      <w:rFonts w:ascii="Times New Roman" w:eastAsia="Times New Roman" w:hAnsi="Times New Roman" w:cs="Times New Roman"/>
      <w:color w:val="000000"/>
      <w:kern w:val="24"/>
      <w:sz w:val="24"/>
      <w:szCs w:val="24"/>
    </w:rPr>
  </w:style>
  <w:style w:type="paragraph" w:styleId="af1">
    <w:name w:val="Balloon Text"/>
    <w:basedOn w:val="a"/>
    <w:link w:val="af2"/>
    <w:uiPriority w:val="99"/>
    <w:unhideWhenUsed/>
    <w:rsid w:val="00A104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A104F9"/>
    <w:rPr>
      <w:rFonts w:ascii="Tahoma" w:eastAsia="Times New Roman" w:hAnsi="Tahoma" w:cs="Tahoma"/>
      <w:sz w:val="16"/>
      <w:szCs w:val="16"/>
    </w:rPr>
  </w:style>
  <w:style w:type="paragraph" w:customStyle="1" w:styleId="nienie">
    <w:name w:val="nienie"/>
    <w:basedOn w:val="a"/>
    <w:rsid w:val="00A104F9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rsid w:val="00A1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A104F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">
    <w:name w:val="Char Знак"/>
    <w:basedOn w:val="a"/>
    <w:rsid w:val="00A104F9"/>
    <w:pPr>
      <w:spacing w:before="100" w:beforeAutospacing="1" w:after="100" w:afterAutospacing="1" w:line="480" w:lineRule="atLeast"/>
      <w:ind w:firstLine="851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A104F9"/>
    <w:rPr>
      <w:rFonts w:cs="Times New Roman"/>
      <w:color w:val="800080"/>
      <w:u w:val="single"/>
    </w:rPr>
  </w:style>
  <w:style w:type="character" w:styleId="af4">
    <w:name w:val="Hyperlink"/>
    <w:basedOn w:val="a0"/>
    <w:uiPriority w:val="99"/>
    <w:semiHidden/>
    <w:unhideWhenUsed/>
    <w:rsid w:val="00A104F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104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04F9"/>
    <w:pPr>
      <w:keepNext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A104F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04F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4F9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A104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104F9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104F9"/>
  </w:style>
  <w:style w:type="paragraph" w:customStyle="1" w:styleId="xl33">
    <w:name w:val="xl33"/>
    <w:basedOn w:val="a"/>
    <w:rsid w:val="00A104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04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A104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A104F9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2">
    <w:name w:val="Гиперссылка1"/>
    <w:basedOn w:val="a0"/>
    <w:uiPriority w:val="99"/>
    <w:unhideWhenUsed/>
    <w:rsid w:val="00A104F9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A10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104F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104F9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A104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104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104F9"/>
    <w:rPr>
      <w:rFonts w:cs="Times New Roman"/>
      <w:b/>
      <w:bCs/>
    </w:rPr>
  </w:style>
  <w:style w:type="table" w:styleId="a9">
    <w:name w:val="Table Grid"/>
    <w:basedOn w:val="a1"/>
    <w:uiPriority w:val="59"/>
    <w:rsid w:val="00A104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04F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A104F9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A104F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A104F9"/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uiPriority w:val="39"/>
    <w:unhideWhenUsed/>
    <w:rsid w:val="00A104F9"/>
    <w:pPr>
      <w:tabs>
        <w:tab w:val="right" w:leader="dot" w:pos="9345"/>
      </w:tabs>
      <w:spacing w:after="0"/>
    </w:pPr>
    <w:rPr>
      <w:rFonts w:ascii="Calibri" w:eastAsia="Times New Roman" w:hAnsi="Calibri" w:cs="Times New Roman"/>
    </w:rPr>
  </w:style>
  <w:style w:type="paragraph" w:styleId="21">
    <w:name w:val="toc 2"/>
    <w:basedOn w:val="a"/>
    <w:next w:val="a"/>
    <w:autoRedefine/>
    <w:uiPriority w:val="39"/>
    <w:unhideWhenUsed/>
    <w:rsid w:val="00A104F9"/>
    <w:pPr>
      <w:tabs>
        <w:tab w:val="right" w:leader="dot" w:pos="9345"/>
      </w:tabs>
      <w:spacing w:after="0"/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A104F9"/>
    <w:pPr>
      <w:tabs>
        <w:tab w:val="left" w:pos="426"/>
        <w:tab w:val="right" w:leader="dot" w:pos="9345"/>
      </w:tabs>
      <w:spacing w:after="0"/>
      <w:ind w:left="426"/>
    </w:pPr>
    <w:rPr>
      <w:rFonts w:ascii="Calibri" w:eastAsia="Times New Roman" w:hAnsi="Calibri" w:cs="Times New Roman"/>
    </w:rPr>
  </w:style>
  <w:style w:type="paragraph" w:styleId="ae">
    <w:name w:val="endnote text"/>
    <w:basedOn w:val="a"/>
    <w:link w:val="af"/>
    <w:uiPriority w:val="99"/>
    <w:unhideWhenUsed/>
    <w:rsid w:val="00A104F9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A104F9"/>
    <w:rPr>
      <w:rFonts w:ascii="Calibri" w:eastAsia="Times New Roman" w:hAnsi="Calibri" w:cs="Times New Roman"/>
      <w:sz w:val="20"/>
      <w:szCs w:val="20"/>
    </w:rPr>
  </w:style>
  <w:style w:type="character" w:styleId="af0">
    <w:name w:val="endnote reference"/>
    <w:basedOn w:val="a0"/>
    <w:uiPriority w:val="99"/>
    <w:unhideWhenUsed/>
    <w:rsid w:val="00A104F9"/>
    <w:rPr>
      <w:vertAlign w:val="superscript"/>
    </w:rPr>
  </w:style>
  <w:style w:type="paragraph" w:customStyle="1" w:styleId="100">
    <w:name w:val="1 Основной текст 0"/>
    <w:aliases w:val="95 ПК,А. Основной текст 0 Знак Знак Знак Знак Знак Знак,Основной текст 0,А. Основной текст 0,1. Основной текст 0,А. Основной текст 0 Знак Знак Знак Знак,А. Основной текст 0 Знак Знак"/>
    <w:basedOn w:val="a"/>
    <w:link w:val="101"/>
    <w:rsid w:val="00A104F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24"/>
      <w:sz w:val="24"/>
      <w:szCs w:val="24"/>
    </w:rPr>
  </w:style>
  <w:style w:type="character" w:customStyle="1" w:styleId="101">
    <w:name w:val="1 Основной текст 01"/>
    <w:link w:val="100"/>
    <w:locked/>
    <w:rsid w:val="00A104F9"/>
    <w:rPr>
      <w:rFonts w:ascii="Times New Roman" w:eastAsia="Times New Roman" w:hAnsi="Times New Roman" w:cs="Times New Roman"/>
      <w:color w:val="000000"/>
      <w:kern w:val="24"/>
      <w:sz w:val="24"/>
      <w:szCs w:val="24"/>
    </w:rPr>
  </w:style>
  <w:style w:type="paragraph" w:styleId="af1">
    <w:name w:val="Balloon Text"/>
    <w:basedOn w:val="a"/>
    <w:link w:val="af2"/>
    <w:uiPriority w:val="99"/>
    <w:unhideWhenUsed/>
    <w:rsid w:val="00A104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A104F9"/>
    <w:rPr>
      <w:rFonts w:ascii="Tahoma" w:eastAsia="Times New Roman" w:hAnsi="Tahoma" w:cs="Tahoma"/>
      <w:sz w:val="16"/>
      <w:szCs w:val="16"/>
    </w:rPr>
  </w:style>
  <w:style w:type="paragraph" w:customStyle="1" w:styleId="nienie">
    <w:name w:val="nienie"/>
    <w:basedOn w:val="a"/>
    <w:rsid w:val="00A104F9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rsid w:val="00A1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A104F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har">
    <w:name w:val="Char Знак"/>
    <w:basedOn w:val="a"/>
    <w:rsid w:val="00A104F9"/>
    <w:pPr>
      <w:spacing w:before="100" w:beforeAutospacing="1" w:after="100" w:afterAutospacing="1" w:line="480" w:lineRule="atLeast"/>
      <w:ind w:firstLine="851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A104F9"/>
    <w:rPr>
      <w:rFonts w:cs="Times New Roman"/>
      <w:color w:val="800080"/>
      <w:u w:val="single"/>
    </w:rPr>
  </w:style>
  <w:style w:type="character" w:styleId="af4">
    <w:name w:val="Hyperlink"/>
    <w:basedOn w:val="a0"/>
    <w:uiPriority w:val="99"/>
    <w:semiHidden/>
    <w:unhideWhenUsed/>
    <w:rsid w:val="00A104F9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104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gis.economy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AC94FADD2E961E191B305ACAE848141DF604B6608863F1F7C410F9CA218A4791732687BFCD7784s6z0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User</cp:lastModifiedBy>
  <cp:revision>3</cp:revision>
  <cp:lastPrinted>2017-06-29T08:32:00Z</cp:lastPrinted>
  <dcterms:created xsi:type="dcterms:W3CDTF">2017-06-29T08:23:00Z</dcterms:created>
  <dcterms:modified xsi:type="dcterms:W3CDTF">2017-06-29T08:35:00Z</dcterms:modified>
</cp:coreProperties>
</file>